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903F9" w:rsidR="00A5454C" w:rsidP="00A5454C" w:rsidRDefault="00A5454C" w14:paraId="31585D70" w14:textId="70183F9D">
      <w:pPr>
        <w:jc w:val="center"/>
        <w:rPr>
          <w:u w:val="single"/>
        </w:rPr>
      </w:pPr>
      <w:r w:rsidRPr="00C903F9">
        <w:rPr>
          <w:u w:val="single"/>
        </w:rPr>
        <w:t>Supporting students of</w:t>
      </w:r>
      <w:r w:rsidR="00721AFF">
        <w:rPr>
          <w:u w:val="single"/>
        </w:rPr>
        <w:t xml:space="preserve"> A-level Sociology</w:t>
      </w:r>
      <w:r w:rsidR="00457A68">
        <w:rPr>
          <w:u w:val="single"/>
        </w:rPr>
        <w:t xml:space="preserve"> </w:t>
      </w:r>
      <w:r w:rsidR="00346E41">
        <w:rPr>
          <w:u w:val="single"/>
        </w:rPr>
        <w:t>at Toot Hill School.</w:t>
      </w:r>
    </w:p>
    <w:p w:rsidR="004C1D96" w:rsidRDefault="00457A68" w14:paraId="38121631" w14:textId="764E3EA2">
      <w:r>
        <w:t>Sociology allow students to study a range of topics focused on explaining human behaviour. Students will develop an inquisitive understanding of the world around them and consider why people behave the way they do through a sociological lens. Students will develop strong academic skills that will benefit them in a range of</w:t>
      </w:r>
      <w:r>
        <w:t xml:space="preserve"> </w:t>
      </w:r>
      <w:r>
        <w:t>Post 18 pathways in relatin</w:t>
      </w:r>
      <w:bookmarkStart w:name="_GoBack" w:id="0"/>
      <w:bookmarkEnd w:id="0"/>
      <w:r>
        <w:t>g to essay writing, sharing opinions and ideas and applying their knowledge to contemporary society</w:t>
      </w:r>
      <w:r w:rsidRPr="00617B78">
        <w:t xml:space="preserve">. </w:t>
      </w:r>
      <w:r>
        <w:t xml:space="preserve">In addition to this, sociology allows students to gain an understanding of a range of perspectives, which allows students to develop an emphatic understanding of the world around them. The Social Sciences Faculty will support all students to achieve their full potential in this subject and teachers value the support of parents and carers as students’ progress towards the external examinations. Below is some important information and frequently asked questions designed to inform parents and carers. Please contact teaching staff or the Head of Faculty if you have further questions.  </w:t>
      </w:r>
    </w:p>
    <w:p w:rsidR="00457A68" w:rsidRDefault="00457A68" w14:paraId="1D6C109C" w14:textId="77777777"/>
    <w:p w:rsidR="00457A68" w:rsidP="00457A68" w:rsidRDefault="004F70F8" w14:paraId="03584CEF" w14:textId="35F27D3F">
      <w:pPr>
        <w:rPr>
          <w:u w:val="single"/>
        </w:rPr>
      </w:pPr>
      <w:r w:rsidRPr="00457A68">
        <w:rPr>
          <w:u w:val="single"/>
        </w:rPr>
        <w:t>Department</w:t>
      </w:r>
      <w:r w:rsidRPr="00457A68" w:rsidR="00D95594">
        <w:rPr>
          <w:u w:val="single"/>
        </w:rPr>
        <w:t xml:space="preserve"> Staff</w:t>
      </w:r>
      <w:r w:rsidRPr="00457A68" w:rsidR="00457A68">
        <w:rPr>
          <w:u w:val="single"/>
        </w:rPr>
        <w:t xml:space="preserve">: </w:t>
      </w:r>
    </w:p>
    <w:p w:rsidRPr="00457A68" w:rsidR="00457A68" w:rsidP="00457A68" w:rsidRDefault="00457A68" w14:paraId="32BBA39E" w14:textId="7DD75623">
      <w:pPr>
        <w:pStyle w:val="ListParagraph"/>
        <w:numPr>
          <w:ilvl w:val="0"/>
          <w:numId w:val="11"/>
        </w:numPr>
        <w:rPr/>
      </w:pPr>
      <w:r w:rsidR="00457A68">
        <w:rPr/>
        <w:t>Head of Faculty for Social Science</w:t>
      </w:r>
      <w:r w:rsidR="674F14CA">
        <w:rPr/>
        <w:t>s</w:t>
      </w:r>
      <w:r w:rsidR="00457A68">
        <w:rPr/>
        <w:t xml:space="preserve"> – Miss G. </w:t>
      </w:r>
      <w:r w:rsidR="00457A68">
        <w:rPr/>
        <w:t>Revagliatte</w:t>
      </w:r>
      <w:r w:rsidR="00457A68">
        <w:rPr/>
        <w:t xml:space="preserve"> – </w:t>
      </w:r>
      <w:hyperlink r:id="Rf8afb91bfa98409b">
        <w:r w:rsidRPr="146ACF2E" w:rsidR="00457A68">
          <w:rPr>
            <w:rStyle w:val="Hyperlink"/>
          </w:rPr>
          <w:t>GRevagliatte@toothillschool.co.uk</w:t>
        </w:r>
      </w:hyperlink>
      <w:r w:rsidR="00457A68">
        <w:rPr/>
        <w:t xml:space="preserve"> </w:t>
      </w:r>
    </w:p>
    <w:p w:rsidRPr="00457A68" w:rsidR="00457A68" w:rsidP="00457A68" w:rsidRDefault="00457A68" w14:paraId="5F322900" w14:textId="1CDDAF32">
      <w:pPr>
        <w:pStyle w:val="ListParagraph"/>
        <w:numPr>
          <w:ilvl w:val="0"/>
          <w:numId w:val="10"/>
        </w:numPr>
        <w:rPr>
          <w:u w:val="single"/>
        </w:rPr>
      </w:pPr>
      <w:r>
        <w:t xml:space="preserve">Lead teacher of year 13 Sociology – Ms. M. Challoner – </w:t>
      </w:r>
      <w:hyperlink w:history="1" r:id="rId9">
        <w:r w:rsidRPr="00297566">
          <w:rPr>
            <w:rStyle w:val="Hyperlink"/>
          </w:rPr>
          <w:t>Mchalloner@toothillschool.co.uk</w:t>
        </w:r>
      </w:hyperlink>
      <w:r>
        <w:t xml:space="preserve"> </w:t>
      </w:r>
    </w:p>
    <w:p w:rsidRPr="00457A68" w:rsidR="00457A68" w:rsidP="00457A68" w:rsidRDefault="00457A68" w14:paraId="26FA771F" w14:textId="15EFAEAF">
      <w:pPr>
        <w:pStyle w:val="ListParagraph"/>
        <w:numPr>
          <w:ilvl w:val="0"/>
          <w:numId w:val="10"/>
        </w:numPr>
        <w:rPr>
          <w:u w:val="single"/>
        </w:rPr>
      </w:pPr>
      <w:r>
        <w:t xml:space="preserve">Teacher of year 12 and 13 Sociology – Miss L. Jordan – </w:t>
      </w:r>
      <w:hyperlink w:history="1" r:id="rId10">
        <w:r w:rsidRPr="00297566">
          <w:rPr>
            <w:rStyle w:val="Hyperlink"/>
          </w:rPr>
          <w:t>Ljordan@toothillschool.co.uk</w:t>
        </w:r>
      </w:hyperlink>
      <w:r>
        <w:t xml:space="preserve"> </w:t>
      </w:r>
    </w:p>
    <w:p w:rsidRPr="00457A68" w:rsidR="00457A68" w:rsidP="00457A68" w:rsidRDefault="00457A68" w14:paraId="270D2320" w14:textId="6BFB404E">
      <w:pPr>
        <w:pStyle w:val="ListParagraph"/>
        <w:numPr>
          <w:ilvl w:val="0"/>
          <w:numId w:val="10"/>
        </w:numPr>
      </w:pPr>
      <w:r w:rsidRPr="00457A68">
        <w:t xml:space="preserve">Lead teacher of year 12 Sociology – Miss A. Gregory – </w:t>
      </w:r>
      <w:hyperlink w:history="1" r:id="rId11">
        <w:r w:rsidRPr="00457A68">
          <w:rPr>
            <w:rStyle w:val="Hyperlink"/>
            <w:u w:val="none"/>
          </w:rPr>
          <w:t>Agregory@toothillschool.co.uk</w:t>
        </w:r>
      </w:hyperlink>
      <w:r w:rsidRPr="00457A68">
        <w:t xml:space="preserve"> </w:t>
      </w:r>
    </w:p>
    <w:p w:rsidRPr="00614AB2" w:rsidR="00457A68" w:rsidRDefault="00457A68" w14:paraId="01C227E0" w14:textId="10807300">
      <w:pPr>
        <w:rPr>
          <w:u w:val="single"/>
        </w:rPr>
      </w:pPr>
      <w:r>
        <w:rPr>
          <w:u w:val="single"/>
        </w:rPr>
        <w:t xml:space="preserve"> </w:t>
      </w:r>
    </w:p>
    <w:tbl>
      <w:tblPr>
        <w:tblStyle w:val="TableGrid"/>
        <w:tblW w:w="14426" w:type="dxa"/>
        <w:tblLook w:val="04A0" w:firstRow="1" w:lastRow="0" w:firstColumn="1" w:lastColumn="0" w:noHBand="0" w:noVBand="1"/>
      </w:tblPr>
      <w:tblGrid>
        <w:gridCol w:w="1129"/>
        <w:gridCol w:w="1560"/>
        <w:gridCol w:w="2693"/>
        <w:gridCol w:w="4575"/>
        <w:gridCol w:w="2206"/>
        <w:gridCol w:w="2263"/>
      </w:tblGrid>
      <w:tr w:rsidR="00D95594" w:rsidTr="002D0148" w14:paraId="0BD660CA" w14:textId="77777777">
        <w:trPr>
          <w:trHeight w:val="381"/>
        </w:trPr>
        <w:tc>
          <w:tcPr>
            <w:tcW w:w="1129" w:type="dxa"/>
          </w:tcPr>
          <w:p w:rsidR="00D95594" w:rsidRDefault="00D95594" w14:paraId="1C804407" w14:textId="77777777">
            <w:r>
              <w:t xml:space="preserve">Subject </w:t>
            </w:r>
          </w:p>
        </w:tc>
        <w:tc>
          <w:tcPr>
            <w:tcW w:w="1560" w:type="dxa"/>
          </w:tcPr>
          <w:p w:rsidR="00D95594" w:rsidRDefault="00D95594" w14:paraId="7FBE798F" w14:textId="77777777">
            <w:r>
              <w:t>Exam board</w:t>
            </w:r>
          </w:p>
        </w:tc>
        <w:tc>
          <w:tcPr>
            <w:tcW w:w="2693" w:type="dxa"/>
          </w:tcPr>
          <w:p w:rsidR="00D95594" w:rsidRDefault="00D95594" w14:paraId="494A6BEB" w14:textId="77777777">
            <w:r>
              <w:t>Course title and code</w:t>
            </w:r>
          </w:p>
        </w:tc>
        <w:tc>
          <w:tcPr>
            <w:tcW w:w="4575" w:type="dxa"/>
          </w:tcPr>
          <w:p w:rsidR="00D95594" w:rsidP="00D95594" w:rsidRDefault="00D95594" w14:paraId="471AF1B5" w14:textId="77777777">
            <w:r>
              <w:t xml:space="preserve">Structure </w:t>
            </w:r>
          </w:p>
        </w:tc>
        <w:tc>
          <w:tcPr>
            <w:tcW w:w="2206" w:type="dxa"/>
          </w:tcPr>
          <w:p w:rsidR="00D95594" w:rsidRDefault="00D95594" w14:paraId="6FB796B3" w14:textId="77777777">
            <w:r>
              <w:t>Key dates</w:t>
            </w:r>
          </w:p>
        </w:tc>
        <w:tc>
          <w:tcPr>
            <w:tcW w:w="2263" w:type="dxa"/>
          </w:tcPr>
          <w:p w:rsidR="00D95594" w:rsidRDefault="00D95594" w14:paraId="711D4B15" w14:textId="77777777">
            <w:r>
              <w:t>Final exams</w:t>
            </w:r>
          </w:p>
        </w:tc>
      </w:tr>
      <w:tr w:rsidR="00642FFE" w:rsidTr="002D0148" w14:paraId="699810AF" w14:textId="77777777">
        <w:trPr>
          <w:trHeight w:val="1989"/>
        </w:trPr>
        <w:tc>
          <w:tcPr>
            <w:tcW w:w="1129" w:type="dxa"/>
          </w:tcPr>
          <w:p w:rsidR="00642FFE" w:rsidRDefault="002D0148" w14:paraId="3A4BD81C" w14:textId="7EE0E174">
            <w:r>
              <w:t>Sociology</w:t>
            </w:r>
          </w:p>
        </w:tc>
        <w:tc>
          <w:tcPr>
            <w:tcW w:w="1560" w:type="dxa"/>
          </w:tcPr>
          <w:p w:rsidR="00642FFE" w:rsidP="00614AB2" w:rsidRDefault="002D0148" w14:paraId="276D35DF" w14:textId="7BD138C3">
            <w:r>
              <w:t>AQA</w:t>
            </w:r>
          </w:p>
        </w:tc>
        <w:tc>
          <w:tcPr>
            <w:tcW w:w="2693" w:type="dxa"/>
          </w:tcPr>
          <w:p w:rsidR="00642FFE" w:rsidP="00263798" w:rsidRDefault="002D0148" w14:paraId="23B8749F" w14:textId="7FA0262C">
            <w:r>
              <w:t xml:space="preserve"> Sociology A Level 7192</w:t>
            </w:r>
          </w:p>
        </w:tc>
        <w:tc>
          <w:tcPr>
            <w:tcW w:w="4575" w:type="dxa"/>
          </w:tcPr>
          <w:p w:rsidRPr="00E52A0D" w:rsidR="00642FFE" w:rsidP="00D34D6F" w:rsidRDefault="002D0148" w14:paraId="69AB01FB" w14:textId="77777777">
            <w:pPr>
              <w:rPr>
                <w:b/>
                <w:bCs/>
              </w:rPr>
            </w:pPr>
            <w:r w:rsidRPr="00E52A0D">
              <w:rPr>
                <w:b/>
                <w:bCs/>
              </w:rPr>
              <w:t>Year 12</w:t>
            </w:r>
          </w:p>
          <w:p w:rsidR="002D0148" w:rsidP="00D34D6F" w:rsidRDefault="002D0148" w14:paraId="549BAE50" w14:textId="77777777">
            <w:r>
              <w:t>Families and Households</w:t>
            </w:r>
          </w:p>
          <w:p w:rsidR="002D0148" w:rsidP="002D0148" w:rsidRDefault="002D0148" w14:paraId="35790BB0" w14:textId="720DAE8D">
            <w:pPr>
              <w:shd w:val="clear" w:color="auto" w:fill="FFFFFF"/>
              <w:spacing w:before="100" w:beforeAutospacing="1" w:after="100" w:afterAutospacing="1"/>
              <w:ind w:left="360"/>
              <w:rPr>
                <w:rFonts w:ascii="Open Sans" w:hAnsi="Open Sans" w:eastAsia="Times New Roman" w:cs="Open Sans"/>
                <w:color w:val="2B2438"/>
                <w:sz w:val="24"/>
                <w:szCs w:val="24"/>
                <w:lang w:eastAsia="en-GB"/>
              </w:rPr>
            </w:pPr>
            <w:r>
              <w:rPr>
                <w:rFonts w:ascii="Open Sans" w:hAnsi="Open Sans" w:eastAsia="Times New Roman" w:cs="Open Sans"/>
                <w:color w:val="2B2438"/>
                <w:sz w:val="16"/>
                <w:szCs w:val="16"/>
                <w:lang w:eastAsia="en-GB"/>
              </w:rPr>
              <w:t>T</w:t>
            </w:r>
            <w:r w:rsidRPr="002D0148">
              <w:rPr>
                <w:rFonts w:ascii="Open Sans" w:hAnsi="Open Sans" w:eastAsia="Times New Roman" w:cs="Open Sans"/>
                <w:color w:val="2B2438"/>
                <w:sz w:val="16"/>
                <w:szCs w:val="16"/>
                <w:lang w:eastAsia="en-GB"/>
              </w:rPr>
              <w:t>he relationship of the family to the social structure and social change</w:t>
            </w:r>
            <w:r>
              <w:rPr>
                <w:rFonts w:ascii="Open Sans" w:hAnsi="Open Sans" w:eastAsia="Times New Roman" w:cs="Open Sans"/>
                <w:color w:val="2B2438"/>
                <w:sz w:val="16"/>
                <w:szCs w:val="16"/>
                <w:lang w:eastAsia="en-GB"/>
              </w:rPr>
              <w:t xml:space="preserve">. </w:t>
            </w:r>
            <w:r w:rsidRPr="002D0148">
              <w:rPr>
                <w:rFonts w:ascii="Open Sans" w:hAnsi="Open Sans" w:eastAsia="Times New Roman" w:cs="Open Sans"/>
                <w:color w:val="2B2438"/>
                <w:sz w:val="16"/>
                <w:szCs w:val="16"/>
                <w:lang w:eastAsia="en-GB"/>
              </w:rPr>
              <w:t>Changing patterns of marriage, cohabitation, separation, divorce, childbearing and the life course, including the sociology of personal life, and the diversity of contemporary family and household structures</w:t>
            </w:r>
            <w:r>
              <w:rPr>
                <w:rFonts w:ascii="Open Sans" w:hAnsi="Open Sans" w:eastAsia="Times New Roman" w:cs="Open Sans"/>
                <w:color w:val="2B2438"/>
                <w:sz w:val="16"/>
                <w:szCs w:val="16"/>
                <w:lang w:eastAsia="en-GB"/>
              </w:rPr>
              <w:t xml:space="preserve">. </w:t>
            </w:r>
            <w:r w:rsidRPr="002D0148">
              <w:rPr>
                <w:rFonts w:ascii="Open Sans" w:hAnsi="Open Sans" w:eastAsia="Times New Roman" w:cs="Open Sans"/>
                <w:color w:val="2B2438"/>
                <w:sz w:val="16"/>
                <w:szCs w:val="16"/>
                <w:lang w:eastAsia="en-GB"/>
              </w:rPr>
              <w:t>Gender roles, domestic labour and power relationships within the family in contemporary society</w:t>
            </w:r>
            <w:r>
              <w:rPr>
                <w:rFonts w:ascii="Open Sans" w:hAnsi="Open Sans" w:eastAsia="Times New Roman" w:cs="Open Sans"/>
                <w:color w:val="2B2438"/>
                <w:sz w:val="16"/>
                <w:szCs w:val="16"/>
                <w:lang w:eastAsia="en-GB"/>
              </w:rPr>
              <w:t xml:space="preserve">. </w:t>
            </w:r>
            <w:r w:rsidRPr="002D0148">
              <w:rPr>
                <w:rFonts w:ascii="Open Sans" w:hAnsi="Open Sans" w:eastAsia="Times New Roman" w:cs="Open Sans"/>
                <w:color w:val="2B2438"/>
                <w:sz w:val="16"/>
                <w:szCs w:val="16"/>
                <w:lang w:eastAsia="en-GB"/>
              </w:rPr>
              <w:t>The nature of childhood, and changes in the status of children in the family and society</w:t>
            </w:r>
            <w:r>
              <w:rPr>
                <w:rFonts w:ascii="Open Sans" w:hAnsi="Open Sans" w:eastAsia="Times New Roman" w:cs="Open Sans"/>
                <w:color w:val="2B2438"/>
                <w:sz w:val="16"/>
                <w:szCs w:val="16"/>
                <w:lang w:eastAsia="en-GB"/>
              </w:rPr>
              <w:t>.</w:t>
            </w:r>
            <w:r w:rsidRPr="002D0148">
              <w:rPr>
                <w:rFonts w:ascii="Open Sans" w:hAnsi="Open Sans" w:eastAsia="Times New Roman" w:cs="Open Sans"/>
                <w:color w:val="2B2438"/>
                <w:sz w:val="16"/>
                <w:szCs w:val="16"/>
                <w:lang w:eastAsia="en-GB"/>
              </w:rPr>
              <w:t xml:space="preserve"> Demographic trends in the United Kingdom since 1900: birth rates, death rates, family size, life expectancy, ageing population, and migration and globalisation</w:t>
            </w:r>
            <w:r w:rsidRPr="002D0148">
              <w:rPr>
                <w:rFonts w:ascii="Open Sans" w:hAnsi="Open Sans" w:eastAsia="Times New Roman" w:cs="Open Sans"/>
                <w:color w:val="2B2438"/>
                <w:sz w:val="24"/>
                <w:szCs w:val="24"/>
                <w:lang w:eastAsia="en-GB"/>
              </w:rPr>
              <w:t>.</w:t>
            </w:r>
          </w:p>
          <w:p w:rsidR="002D0148" w:rsidP="002D0148" w:rsidRDefault="002D0148" w14:paraId="7DB6F846" w14:textId="401F8E9B">
            <w:pPr>
              <w:shd w:val="clear" w:color="auto" w:fill="FFFFFF"/>
              <w:spacing w:before="100" w:beforeAutospacing="1" w:after="100" w:afterAutospacing="1"/>
              <w:ind w:left="360"/>
              <w:rPr>
                <w:rFonts w:ascii="Open Sans" w:hAnsi="Open Sans" w:eastAsia="Times New Roman" w:cs="Open Sans"/>
                <w:color w:val="2B2438"/>
                <w:sz w:val="24"/>
                <w:szCs w:val="24"/>
                <w:lang w:eastAsia="en-GB"/>
              </w:rPr>
            </w:pPr>
            <w:r w:rsidRPr="002D0148">
              <w:rPr>
                <w:rFonts w:ascii="Open Sans" w:hAnsi="Open Sans" w:eastAsia="Times New Roman" w:cs="Open Sans"/>
                <w:color w:val="2B2438"/>
                <w:sz w:val="24"/>
                <w:szCs w:val="24"/>
                <w:lang w:eastAsia="en-GB"/>
              </w:rPr>
              <w:lastRenderedPageBreak/>
              <w:t>Education</w:t>
            </w:r>
          </w:p>
          <w:p w:rsidRPr="002D0148" w:rsidR="002D0148" w:rsidP="002D0148" w:rsidRDefault="002D0148" w14:paraId="4FFFF8A0" w14:textId="49BB72F6">
            <w:pPr>
              <w:shd w:val="clear" w:color="auto" w:fill="FFFFFF"/>
              <w:spacing w:before="100" w:beforeAutospacing="1" w:after="100" w:afterAutospacing="1"/>
              <w:ind w:left="360"/>
              <w:rPr>
                <w:rFonts w:ascii="Open Sans" w:hAnsi="Open Sans" w:eastAsia="Times New Roman" w:cs="Open Sans"/>
                <w:color w:val="2B2438"/>
                <w:sz w:val="24"/>
                <w:szCs w:val="24"/>
                <w:lang w:eastAsia="en-GB"/>
              </w:rPr>
            </w:pPr>
            <w:r w:rsidRPr="002D0148">
              <w:rPr>
                <w:rFonts w:ascii="Open Sans" w:hAnsi="Open Sans" w:eastAsia="Times New Roman" w:cs="Open Sans"/>
                <w:color w:val="2B2438"/>
                <w:sz w:val="18"/>
                <w:szCs w:val="18"/>
                <w:lang w:eastAsia="en-GB"/>
              </w:rPr>
              <w:t>The role of education (perspectives), the different levels of achievement between different social groups. The impact of and history of social policies</w:t>
            </w:r>
            <w:r>
              <w:rPr>
                <w:rFonts w:ascii="Open Sans" w:hAnsi="Open Sans" w:eastAsia="Times New Roman" w:cs="Open Sans"/>
                <w:color w:val="2B2438"/>
                <w:sz w:val="24"/>
                <w:szCs w:val="24"/>
                <w:lang w:eastAsia="en-GB"/>
              </w:rPr>
              <w:t>.</w:t>
            </w:r>
          </w:p>
          <w:p w:rsidR="002D0148" w:rsidP="00D34D6F" w:rsidRDefault="00E52A0D" w14:paraId="2429C309" w14:textId="609110B3">
            <w:pPr>
              <w:rPr>
                <w:sz w:val="24"/>
                <w:szCs w:val="24"/>
              </w:rPr>
            </w:pPr>
            <w:r>
              <w:rPr>
                <w:sz w:val="24"/>
                <w:szCs w:val="24"/>
              </w:rPr>
              <w:t xml:space="preserve">      </w:t>
            </w:r>
            <w:r w:rsidRPr="002D0148" w:rsidR="002D0148">
              <w:rPr>
                <w:sz w:val="24"/>
                <w:szCs w:val="24"/>
              </w:rPr>
              <w:t>Methods</w:t>
            </w:r>
          </w:p>
          <w:p w:rsidR="002D0148" w:rsidP="00D34D6F" w:rsidRDefault="002D0148" w14:paraId="51B21B1F" w14:textId="77777777">
            <w:pPr>
              <w:rPr>
                <w:sz w:val="24"/>
                <w:szCs w:val="24"/>
              </w:rPr>
            </w:pPr>
            <w:r w:rsidRPr="002D0148">
              <w:rPr>
                <w:sz w:val="18"/>
                <w:szCs w:val="18"/>
              </w:rPr>
              <w:t xml:space="preserve">Different Quantitative and Qualitative methods. </w:t>
            </w:r>
            <w:r w:rsidR="00E52A0D">
              <w:rPr>
                <w:sz w:val="18"/>
                <w:szCs w:val="18"/>
              </w:rPr>
              <w:t xml:space="preserve">    </w:t>
            </w:r>
            <w:r w:rsidRPr="002D0148">
              <w:rPr>
                <w:sz w:val="18"/>
                <w:szCs w:val="18"/>
              </w:rPr>
              <w:t>Theoretical, practical and ethical considerations in research</w:t>
            </w:r>
            <w:r>
              <w:rPr>
                <w:sz w:val="24"/>
                <w:szCs w:val="24"/>
              </w:rPr>
              <w:t xml:space="preserve">. </w:t>
            </w:r>
          </w:p>
          <w:p w:rsidR="00E52A0D" w:rsidP="00D34D6F" w:rsidRDefault="00E52A0D" w14:paraId="531A1573" w14:textId="77777777">
            <w:pPr>
              <w:rPr>
                <w:sz w:val="24"/>
                <w:szCs w:val="24"/>
              </w:rPr>
            </w:pPr>
          </w:p>
          <w:p w:rsidR="00E52A0D" w:rsidP="00D34D6F" w:rsidRDefault="00E52A0D" w14:paraId="3EF00B84" w14:textId="77777777">
            <w:pPr>
              <w:rPr>
                <w:b/>
                <w:bCs/>
                <w:sz w:val="24"/>
                <w:szCs w:val="24"/>
              </w:rPr>
            </w:pPr>
            <w:r w:rsidRPr="00E52A0D">
              <w:rPr>
                <w:b/>
                <w:bCs/>
                <w:sz w:val="24"/>
                <w:szCs w:val="24"/>
              </w:rPr>
              <w:t>Year 13</w:t>
            </w:r>
          </w:p>
          <w:p w:rsidR="00E52A0D" w:rsidP="00D34D6F" w:rsidRDefault="00E52A0D" w14:paraId="24D9C50D" w14:textId="77777777">
            <w:pPr>
              <w:rPr>
                <w:b/>
                <w:bCs/>
                <w:sz w:val="24"/>
                <w:szCs w:val="24"/>
              </w:rPr>
            </w:pPr>
          </w:p>
          <w:p w:rsidR="00E52A0D" w:rsidP="00D34D6F" w:rsidRDefault="00E52A0D" w14:paraId="0F7F0356" w14:textId="77777777">
            <w:pPr>
              <w:rPr>
                <w:sz w:val="24"/>
                <w:szCs w:val="24"/>
              </w:rPr>
            </w:pPr>
            <w:r w:rsidRPr="00E52A0D">
              <w:rPr>
                <w:sz w:val="24"/>
                <w:szCs w:val="24"/>
              </w:rPr>
              <w:t>Crime and deviance</w:t>
            </w:r>
          </w:p>
          <w:p w:rsidR="00E52A0D" w:rsidP="00E52A0D" w:rsidRDefault="00E52A0D" w14:paraId="79A2D0F5" w14:textId="3D2D685A">
            <w:pPr>
              <w:shd w:val="clear" w:color="auto" w:fill="FFFFFF"/>
              <w:spacing w:before="100" w:beforeAutospacing="1" w:after="100" w:afterAutospacing="1"/>
              <w:ind w:left="360"/>
              <w:rPr>
                <w:rFonts w:ascii="Open Sans" w:hAnsi="Open Sans" w:eastAsia="Times New Roman" w:cs="Open Sans"/>
                <w:color w:val="2B2438"/>
                <w:sz w:val="18"/>
                <w:szCs w:val="18"/>
                <w:lang w:eastAsia="en-GB"/>
              </w:rPr>
            </w:pPr>
            <w:r w:rsidRPr="00E52A0D">
              <w:rPr>
                <w:rFonts w:ascii="Open Sans" w:hAnsi="Open Sans" w:eastAsia="Times New Roman" w:cs="Open Sans"/>
                <w:color w:val="2B2438"/>
                <w:sz w:val="18"/>
                <w:szCs w:val="18"/>
                <w:lang w:eastAsia="en-GB"/>
              </w:rPr>
              <w:t>crime, deviance, social order and social control</w:t>
            </w:r>
            <w:r>
              <w:rPr>
                <w:rFonts w:ascii="Open Sans" w:hAnsi="Open Sans" w:eastAsia="Times New Roman" w:cs="Open Sans"/>
                <w:color w:val="2B2438"/>
                <w:sz w:val="18"/>
                <w:szCs w:val="18"/>
                <w:lang w:eastAsia="en-GB"/>
              </w:rPr>
              <w:t>. The</w:t>
            </w:r>
            <w:r w:rsidRPr="00E52A0D">
              <w:rPr>
                <w:rFonts w:ascii="Open Sans" w:hAnsi="Open Sans" w:eastAsia="Times New Roman" w:cs="Open Sans"/>
                <w:color w:val="2B2438"/>
                <w:sz w:val="18"/>
                <w:szCs w:val="18"/>
                <w:lang w:eastAsia="en-GB"/>
              </w:rPr>
              <w:t xml:space="preserve"> social distribution of crime and deviance by ethnicity, gender and social class, including recent patterns and trends in crime</w:t>
            </w:r>
            <w:r>
              <w:rPr>
                <w:rFonts w:ascii="Open Sans" w:hAnsi="Open Sans" w:eastAsia="Times New Roman" w:cs="Open Sans"/>
                <w:color w:val="2B2438"/>
                <w:sz w:val="18"/>
                <w:szCs w:val="18"/>
                <w:lang w:eastAsia="en-GB"/>
              </w:rPr>
              <w:t>. Globalisation</w:t>
            </w:r>
            <w:r w:rsidRPr="00E52A0D">
              <w:rPr>
                <w:rFonts w:ascii="Open Sans" w:hAnsi="Open Sans" w:eastAsia="Times New Roman" w:cs="Open Sans"/>
                <w:color w:val="2B2438"/>
                <w:sz w:val="18"/>
                <w:szCs w:val="18"/>
                <w:lang w:eastAsia="en-GB"/>
              </w:rPr>
              <w:t xml:space="preserve"> and crime in contemporary society; the media and crime; green crime; human rights and state crimes</w:t>
            </w:r>
            <w:r>
              <w:rPr>
                <w:rFonts w:ascii="Open Sans" w:hAnsi="Open Sans" w:eastAsia="Times New Roman" w:cs="Open Sans"/>
                <w:color w:val="2B2438"/>
                <w:sz w:val="18"/>
                <w:szCs w:val="18"/>
                <w:lang w:eastAsia="en-GB"/>
              </w:rPr>
              <w:t>. C</w:t>
            </w:r>
            <w:r w:rsidRPr="00E52A0D">
              <w:rPr>
                <w:rFonts w:ascii="Open Sans" w:hAnsi="Open Sans" w:eastAsia="Times New Roman" w:cs="Open Sans"/>
                <w:color w:val="2B2438"/>
                <w:sz w:val="18"/>
                <w:szCs w:val="18"/>
                <w:lang w:eastAsia="en-GB"/>
              </w:rPr>
              <w:t>rime control, surveillance, prevention and punishment, victims, and the role of the criminal justice system and other agencies.</w:t>
            </w:r>
          </w:p>
          <w:p w:rsidR="00E52A0D" w:rsidP="00E52A0D" w:rsidRDefault="00E52A0D" w14:paraId="220AEFF1" w14:textId="5E8D3C9E">
            <w:pPr>
              <w:shd w:val="clear" w:color="auto" w:fill="FFFFFF"/>
              <w:spacing w:before="100" w:beforeAutospacing="1" w:after="100" w:afterAutospacing="1"/>
              <w:ind w:left="360"/>
              <w:rPr>
                <w:rFonts w:ascii="Open Sans" w:hAnsi="Open Sans" w:eastAsia="Times New Roman" w:cs="Open Sans"/>
                <w:color w:val="2B2438"/>
                <w:sz w:val="24"/>
                <w:szCs w:val="24"/>
                <w:lang w:eastAsia="en-GB"/>
              </w:rPr>
            </w:pPr>
            <w:r w:rsidRPr="00E52A0D">
              <w:rPr>
                <w:rFonts w:ascii="Open Sans" w:hAnsi="Open Sans" w:eastAsia="Times New Roman" w:cs="Open Sans"/>
                <w:color w:val="2B2438"/>
                <w:sz w:val="24"/>
                <w:szCs w:val="24"/>
                <w:lang w:eastAsia="en-GB"/>
              </w:rPr>
              <w:t>Beliefs</w:t>
            </w:r>
          </w:p>
          <w:p w:rsidR="00E52A0D" w:rsidP="00E52A0D" w:rsidRDefault="00E52A0D" w14:paraId="0D4D05F5" w14:textId="63A703DD">
            <w:pPr>
              <w:shd w:val="clear" w:color="auto" w:fill="FFFFFF"/>
              <w:spacing w:before="100" w:beforeAutospacing="1" w:after="100" w:afterAutospacing="1"/>
              <w:ind w:left="360"/>
              <w:rPr>
                <w:rFonts w:ascii="Open Sans" w:hAnsi="Open Sans" w:eastAsia="Times New Roman" w:cs="Open Sans"/>
                <w:color w:val="2B2438"/>
                <w:sz w:val="16"/>
                <w:szCs w:val="16"/>
                <w:lang w:eastAsia="en-GB"/>
              </w:rPr>
            </w:pPr>
            <w:r w:rsidRPr="00E52A0D">
              <w:rPr>
                <w:rFonts w:ascii="Open Sans" w:hAnsi="Open Sans" w:eastAsia="Times New Roman" w:cs="Open Sans"/>
                <w:color w:val="2B2438"/>
                <w:sz w:val="16"/>
                <w:szCs w:val="16"/>
                <w:lang w:eastAsia="en-GB"/>
              </w:rPr>
              <w:t xml:space="preserve">Ideology, science and religion, including both Christian and non-Christian religious traditions. The relationship between social change and social stability, and religious beliefs, practices and organisations. Religious organisations, including cults, sects, denominations, churches and New Age movements, and their relationship to religious and spiritual belief and practice. The relationship between different social groups and religious/spiritual organisations and movements, beliefs and practices. The significance of religion and religiosity </w:t>
            </w:r>
            <w:r w:rsidRPr="00E52A0D">
              <w:rPr>
                <w:rFonts w:ascii="Open Sans" w:hAnsi="Open Sans" w:eastAsia="Times New Roman" w:cs="Open Sans"/>
                <w:color w:val="2B2438"/>
                <w:sz w:val="16"/>
                <w:szCs w:val="16"/>
                <w:lang w:eastAsia="en-GB"/>
              </w:rPr>
              <w:lastRenderedPageBreak/>
              <w:t>in the contemporary world, including the nature and extent of secularisation in a global context, and globalisation and the spread of religions.</w:t>
            </w:r>
          </w:p>
          <w:p w:rsidR="00E52A0D" w:rsidP="00E52A0D" w:rsidRDefault="00E52A0D" w14:paraId="180977FD" w14:textId="774893F7">
            <w:pPr>
              <w:shd w:val="clear" w:color="auto" w:fill="FFFFFF"/>
              <w:spacing w:before="100" w:beforeAutospacing="1" w:after="100" w:afterAutospacing="1"/>
              <w:ind w:left="360"/>
              <w:rPr>
                <w:rFonts w:ascii="Open Sans" w:hAnsi="Open Sans" w:eastAsia="Times New Roman" w:cs="Open Sans"/>
                <w:color w:val="2B2438"/>
                <w:sz w:val="24"/>
                <w:szCs w:val="24"/>
                <w:lang w:eastAsia="en-GB"/>
              </w:rPr>
            </w:pPr>
            <w:r w:rsidRPr="00E52A0D">
              <w:rPr>
                <w:rFonts w:ascii="Open Sans" w:hAnsi="Open Sans" w:eastAsia="Times New Roman" w:cs="Open Sans"/>
                <w:color w:val="2B2438"/>
                <w:sz w:val="24"/>
                <w:szCs w:val="24"/>
                <w:lang w:eastAsia="en-GB"/>
              </w:rPr>
              <w:t>Theory</w:t>
            </w:r>
            <w:r>
              <w:rPr>
                <w:rFonts w:ascii="Open Sans" w:hAnsi="Open Sans" w:eastAsia="Times New Roman" w:cs="Open Sans"/>
                <w:color w:val="2B2438"/>
                <w:sz w:val="24"/>
                <w:szCs w:val="24"/>
                <w:lang w:eastAsia="en-GB"/>
              </w:rPr>
              <w:t xml:space="preserve"> </w:t>
            </w:r>
            <w:r w:rsidRPr="00E52A0D">
              <w:rPr>
                <w:rFonts w:ascii="Open Sans" w:hAnsi="Open Sans" w:eastAsia="Times New Roman" w:cs="Open Sans"/>
                <w:color w:val="2B2438"/>
                <w:sz w:val="24"/>
                <w:szCs w:val="24"/>
                <w:lang w:eastAsia="en-GB"/>
              </w:rPr>
              <w:t>and Method</w:t>
            </w:r>
          </w:p>
          <w:p w:rsidRPr="00E52A0D" w:rsidR="00E52A0D" w:rsidP="00E52A0D" w:rsidRDefault="00E52A0D" w14:paraId="14EF9379" w14:textId="58D8023F">
            <w:pPr>
              <w:shd w:val="clear" w:color="auto" w:fill="FFFFFF"/>
              <w:spacing w:before="100" w:beforeAutospacing="1" w:after="100" w:afterAutospacing="1"/>
              <w:ind w:left="360"/>
              <w:rPr>
                <w:rFonts w:ascii="Open Sans" w:hAnsi="Open Sans" w:eastAsia="Times New Roman" w:cs="Open Sans"/>
                <w:color w:val="2B2438"/>
                <w:sz w:val="18"/>
                <w:szCs w:val="18"/>
                <w:lang w:eastAsia="en-GB"/>
              </w:rPr>
            </w:pPr>
            <w:r w:rsidRPr="00E52A0D">
              <w:rPr>
                <w:rFonts w:ascii="Open Sans" w:hAnsi="Open Sans" w:eastAsia="Times New Roman" w:cs="Open Sans"/>
                <w:color w:val="2B2438"/>
                <w:sz w:val="18"/>
                <w:szCs w:val="18"/>
                <w:lang w:eastAsia="en-GB"/>
              </w:rPr>
              <w:t>consensus, conflict, structural and social action theories</w:t>
            </w:r>
            <w:r>
              <w:rPr>
                <w:rFonts w:ascii="Open Sans" w:hAnsi="Open Sans" w:eastAsia="Times New Roman" w:cs="Open Sans"/>
                <w:color w:val="2B2438"/>
                <w:sz w:val="18"/>
                <w:szCs w:val="18"/>
                <w:lang w:eastAsia="en-GB"/>
              </w:rPr>
              <w:t xml:space="preserve">. </w:t>
            </w:r>
            <w:r w:rsidRPr="00E52A0D">
              <w:rPr>
                <w:rFonts w:ascii="Open Sans" w:hAnsi="Open Sans" w:eastAsia="Times New Roman" w:cs="Open Sans"/>
                <w:color w:val="2B2438"/>
                <w:sz w:val="18"/>
                <w:szCs w:val="18"/>
                <w:lang w:eastAsia="en-GB"/>
              </w:rPr>
              <w:t>The concepts of modernity and post-modernity in relation to sociological theory</w:t>
            </w:r>
            <w:r>
              <w:rPr>
                <w:rFonts w:ascii="Open Sans" w:hAnsi="Open Sans" w:eastAsia="Times New Roman" w:cs="Open Sans"/>
                <w:color w:val="2B2438"/>
                <w:sz w:val="18"/>
                <w:szCs w:val="18"/>
                <w:lang w:eastAsia="en-GB"/>
              </w:rPr>
              <w:t xml:space="preserve">. </w:t>
            </w:r>
            <w:r w:rsidRPr="00E52A0D">
              <w:rPr>
                <w:rFonts w:ascii="Open Sans" w:hAnsi="Open Sans" w:eastAsia="Times New Roman" w:cs="Open Sans"/>
                <w:color w:val="2B2438"/>
                <w:sz w:val="18"/>
                <w:szCs w:val="18"/>
                <w:lang w:eastAsia="en-GB"/>
              </w:rPr>
              <w:t>The nature of science and the extent to which Sociology can be regarded as scientific</w:t>
            </w:r>
            <w:r>
              <w:rPr>
                <w:rFonts w:ascii="Open Sans" w:hAnsi="Open Sans" w:eastAsia="Times New Roman" w:cs="Open Sans"/>
                <w:color w:val="2B2438"/>
                <w:sz w:val="18"/>
                <w:szCs w:val="18"/>
                <w:lang w:eastAsia="en-GB"/>
              </w:rPr>
              <w:t xml:space="preserve">. </w:t>
            </w:r>
            <w:r w:rsidRPr="00E52A0D">
              <w:rPr>
                <w:rFonts w:ascii="Open Sans" w:hAnsi="Open Sans" w:eastAsia="Times New Roman" w:cs="Open Sans"/>
                <w:color w:val="2B2438"/>
                <w:sz w:val="18"/>
                <w:szCs w:val="18"/>
                <w:lang w:eastAsia="en-GB"/>
              </w:rPr>
              <w:t>The relationship between theory and methods</w:t>
            </w:r>
            <w:r>
              <w:rPr>
                <w:rFonts w:ascii="Open Sans" w:hAnsi="Open Sans" w:eastAsia="Times New Roman" w:cs="Open Sans"/>
                <w:color w:val="2B2438"/>
                <w:sz w:val="18"/>
                <w:szCs w:val="18"/>
                <w:lang w:eastAsia="en-GB"/>
              </w:rPr>
              <w:t xml:space="preserve">. </w:t>
            </w:r>
            <w:r w:rsidRPr="00E52A0D">
              <w:rPr>
                <w:rFonts w:ascii="Open Sans" w:hAnsi="Open Sans" w:eastAsia="Times New Roman" w:cs="Open Sans"/>
                <w:color w:val="2B2438"/>
                <w:sz w:val="18"/>
                <w:szCs w:val="18"/>
                <w:lang w:eastAsia="en-GB"/>
              </w:rPr>
              <w:t>Debates about subjectivity, objectivity, and value freedom</w:t>
            </w:r>
            <w:r>
              <w:rPr>
                <w:rFonts w:ascii="Open Sans" w:hAnsi="Open Sans" w:eastAsia="Times New Roman" w:cs="Open Sans"/>
                <w:color w:val="2B2438"/>
                <w:sz w:val="18"/>
                <w:szCs w:val="18"/>
                <w:lang w:eastAsia="en-GB"/>
              </w:rPr>
              <w:t xml:space="preserve">. </w:t>
            </w:r>
            <w:r w:rsidRPr="00E52A0D">
              <w:rPr>
                <w:rFonts w:ascii="Open Sans" w:hAnsi="Open Sans" w:eastAsia="Times New Roman" w:cs="Open Sans"/>
                <w:color w:val="2B2438"/>
                <w:sz w:val="18"/>
                <w:szCs w:val="18"/>
                <w:lang w:eastAsia="en-GB"/>
              </w:rPr>
              <w:t>The relationship between Sociology and social policy.</w:t>
            </w:r>
          </w:p>
          <w:p w:rsidRPr="00E52A0D" w:rsidR="00E52A0D" w:rsidP="00E52A0D" w:rsidRDefault="00E52A0D" w14:paraId="50DA7562" w14:textId="77777777">
            <w:pPr>
              <w:shd w:val="clear" w:color="auto" w:fill="FFFFFF"/>
              <w:spacing w:before="100" w:beforeAutospacing="1" w:after="100" w:afterAutospacing="1"/>
              <w:ind w:left="360"/>
              <w:rPr>
                <w:rFonts w:ascii="Open Sans" w:hAnsi="Open Sans" w:eastAsia="Times New Roman" w:cs="Open Sans"/>
                <w:color w:val="2B2438"/>
                <w:sz w:val="18"/>
                <w:szCs w:val="18"/>
                <w:lang w:eastAsia="en-GB"/>
              </w:rPr>
            </w:pPr>
          </w:p>
          <w:p w:rsidRPr="00E52A0D" w:rsidR="00E52A0D" w:rsidP="00E52A0D" w:rsidRDefault="00E52A0D" w14:paraId="00729BA3" w14:textId="77777777">
            <w:pPr>
              <w:shd w:val="clear" w:color="auto" w:fill="FFFFFF"/>
              <w:spacing w:before="100" w:beforeAutospacing="1" w:after="100" w:afterAutospacing="1"/>
              <w:ind w:left="360"/>
              <w:rPr>
                <w:rFonts w:ascii="Open Sans" w:hAnsi="Open Sans" w:eastAsia="Times New Roman" w:cs="Open Sans"/>
                <w:color w:val="2B2438"/>
                <w:sz w:val="24"/>
                <w:szCs w:val="24"/>
                <w:lang w:eastAsia="en-GB"/>
              </w:rPr>
            </w:pPr>
          </w:p>
          <w:p w:rsidRPr="00E52A0D" w:rsidR="00E52A0D" w:rsidP="00D34D6F" w:rsidRDefault="00E52A0D" w14:paraId="2B95ACAD" w14:textId="18D26651">
            <w:pPr>
              <w:rPr>
                <w:sz w:val="24"/>
                <w:szCs w:val="24"/>
              </w:rPr>
            </w:pPr>
          </w:p>
        </w:tc>
        <w:tc>
          <w:tcPr>
            <w:tcW w:w="2206" w:type="dxa"/>
          </w:tcPr>
          <w:p w:rsidR="00642FFE" w:rsidP="00E52A0D" w:rsidRDefault="00E52A0D" w14:paraId="0F8B1F46" w14:textId="77777777">
            <w:r>
              <w:lastRenderedPageBreak/>
              <w:t>Oct 2023</w:t>
            </w:r>
          </w:p>
          <w:p w:rsidR="00E52A0D" w:rsidP="00E52A0D" w:rsidRDefault="00E52A0D" w14:paraId="5411A3B6" w14:textId="77777777">
            <w:r>
              <w:t>Year 13 internal classroom assessments.</w:t>
            </w:r>
          </w:p>
          <w:p w:rsidR="00CD1985" w:rsidP="00E52A0D" w:rsidRDefault="00CD1985" w14:paraId="4AE0A993" w14:textId="77777777"/>
          <w:p w:rsidR="00E52A0D" w:rsidP="00E52A0D" w:rsidRDefault="00E52A0D" w14:paraId="556DD6A7" w14:textId="77777777">
            <w:r>
              <w:t>November 2023</w:t>
            </w:r>
          </w:p>
          <w:p w:rsidR="00E52A0D" w:rsidP="00E52A0D" w:rsidRDefault="00E52A0D" w14:paraId="1AD48A2E" w14:textId="77777777">
            <w:r>
              <w:t>Year 12 internal assessments</w:t>
            </w:r>
            <w:r w:rsidR="00CD1985">
              <w:t xml:space="preserve"> and year 13 Mocks.</w:t>
            </w:r>
          </w:p>
          <w:p w:rsidR="00CD1985" w:rsidP="00E52A0D" w:rsidRDefault="00CD1985" w14:paraId="6B99C5D0" w14:textId="77777777"/>
          <w:p w:rsidR="00CD1985" w:rsidP="00E52A0D" w:rsidRDefault="00CD1985" w14:paraId="084966D0" w14:textId="77777777">
            <w:r>
              <w:t>February 2024. Year 13 Mocks</w:t>
            </w:r>
          </w:p>
          <w:p w:rsidR="00CD1985" w:rsidP="00E52A0D" w:rsidRDefault="00CD1985" w14:paraId="058DDF56" w14:textId="77777777"/>
          <w:p w:rsidR="00CD1985" w:rsidP="00E52A0D" w:rsidRDefault="00CD1985" w14:paraId="26ECE959" w14:textId="2F133CB9">
            <w:r>
              <w:lastRenderedPageBreak/>
              <w:t>June 2024. Year 12 end of year assessments.</w:t>
            </w:r>
          </w:p>
        </w:tc>
        <w:tc>
          <w:tcPr>
            <w:tcW w:w="2263" w:type="dxa"/>
          </w:tcPr>
          <w:p w:rsidR="00642FFE" w:rsidP="00C91C94" w:rsidRDefault="00CD1985" w14:paraId="7E0168A9" w14:textId="54EBB69C">
            <w:r>
              <w:lastRenderedPageBreak/>
              <w:t>Paper 1. May 20</w:t>
            </w:r>
            <w:r w:rsidRPr="00CD1985">
              <w:rPr>
                <w:vertAlign w:val="superscript"/>
              </w:rPr>
              <w:t>th</w:t>
            </w:r>
            <w:r>
              <w:t xml:space="preserve"> 2024. Education and methods.</w:t>
            </w:r>
          </w:p>
          <w:p w:rsidR="00CD1985" w:rsidP="00C91C94" w:rsidRDefault="00CD1985" w14:paraId="387E3754" w14:textId="77777777"/>
          <w:p w:rsidR="00CD1985" w:rsidP="00C91C94" w:rsidRDefault="00CD1985" w14:paraId="1B2F85CB" w14:textId="77777777">
            <w:r>
              <w:t>Paper 2. June 4</w:t>
            </w:r>
            <w:r w:rsidRPr="00CD1985">
              <w:rPr>
                <w:vertAlign w:val="superscript"/>
              </w:rPr>
              <w:t>th</w:t>
            </w:r>
            <w:r>
              <w:t xml:space="preserve"> 2024.</w:t>
            </w:r>
          </w:p>
          <w:p w:rsidR="00CD1985" w:rsidP="00C91C94" w:rsidRDefault="00CD1985" w14:paraId="0D607844" w14:textId="070059DF">
            <w:r>
              <w:t>Families and beliefs</w:t>
            </w:r>
          </w:p>
          <w:p w:rsidR="00CD1985" w:rsidP="00C91C94" w:rsidRDefault="00CD1985" w14:paraId="7D04406C" w14:textId="77777777"/>
          <w:p w:rsidR="00CD1985" w:rsidP="00C91C94" w:rsidRDefault="00CD1985" w14:paraId="0CBDD4C4" w14:textId="7200AFBC">
            <w:r>
              <w:t>Paper 3. June 11</w:t>
            </w:r>
            <w:r w:rsidRPr="00CD1985">
              <w:rPr>
                <w:vertAlign w:val="superscript"/>
              </w:rPr>
              <w:t>th</w:t>
            </w:r>
            <w:r>
              <w:t xml:space="preserve"> 2024. Crime and Methods.</w:t>
            </w:r>
          </w:p>
        </w:tc>
      </w:tr>
    </w:tbl>
    <w:p w:rsidR="00D95594" w:rsidRDefault="00D95594" w14:paraId="053D35C5" w14:textId="77777777"/>
    <w:p w:rsidR="006472BA" w:rsidRDefault="006472BA" w14:paraId="18447B65" w14:textId="77777777">
      <w:r>
        <w:t>Frequently asked questions</w:t>
      </w:r>
    </w:p>
    <w:p w:rsidR="006472BA" w:rsidP="00CD1985" w:rsidRDefault="006472BA" w14:paraId="163E8758" w14:textId="4241483F">
      <w:pPr>
        <w:pStyle w:val="ListParagraph"/>
        <w:numPr>
          <w:ilvl w:val="0"/>
          <w:numId w:val="8"/>
        </w:numPr>
      </w:pPr>
      <w:r>
        <w:t>Where can I find past papers and mark schemes?</w:t>
      </w:r>
    </w:p>
    <w:p w:rsidR="00CD1985" w:rsidP="00CD1985" w:rsidRDefault="00457A68" w14:paraId="4B449CD4" w14:textId="5E4F0F44">
      <w:hyperlink w:history="1" r:id="rId12">
        <w:r w:rsidRPr="00086BD6" w:rsidR="00CD1985">
          <w:rPr>
            <w:rStyle w:val="Hyperlink"/>
          </w:rPr>
          <w:t>https://www.aqa.org.uk/subjects/sociology/as-and-a-level/sociology-7191-7192/assessment-resources</w:t>
        </w:r>
      </w:hyperlink>
    </w:p>
    <w:p w:rsidR="006472BA" w:rsidP="00CD1985" w:rsidRDefault="006472BA" w14:paraId="254AD977" w14:textId="17D71C46">
      <w:pPr>
        <w:pStyle w:val="ListParagraph"/>
        <w:numPr>
          <w:ilvl w:val="0"/>
          <w:numId w:val="8"/>
        </w:numPr>
      </w:pPr>
      <w:r>
        <w:t>Does my student know where to access guidance when answering exam questions?</w:t>
      </w:r>
    </w:p>
    <w:p w:rsidR="00CD1985" w:rsidP="00CD1985" w:rsidRDefault="00CD1985" w14:paraId="21FA3BDC" w14:textId="25987C6A">
      <w:r>
        <w:t>All students should have access to the recommended text book alongside the information sheets given by teachers which summarises the taught elements of the course.</w:t>
      </w:r>
    </w:p>
    <w:p w:rsidR="004C1D96" w:rsidP="00CD1985" w:rsidRDefault="004C1D96" w14:paraId="7411793E" w14:textId="4C7E121F">
      <w:pPr>
        <w:pStyle w:val="ListParagraph"/>
        <w:numPr>
          <w:ilvl w:val="0"/>
          <w:numId w:val="8"/>
        </w:numPr>
      </w:pPr>
      <w:r>
        <w:t>What happens if my student has gaps in their knowledge due to absence?</w:t>
      </w:r>
    </w:p>
    <w:p w:rsidR="00CD1985" w:rsidP="00CD1985" w:rsidRDefault="00CD1985" w14:paraId="52D4E5BB" w14:textId="0CFAAA0E">
      <w:r>
        <w:t>All students will find lesson resources and summary sheets on Teams.</w:t>
      </w:r>
    </w:p>
    <w:p w:rsidR="006472BA" w:rsidP="00CD1985" w:rsidRDefault="006472BA" w14:paraId="6E44C44E" w14:textId="6F33CF64">
      <w:pPr>
        <w:pStyle w:val="ListParagraph"/>
        <w:numPr>
          <w:ilvl w:val="0"/>
          <w:numId w:val="8"/>
        </w:numPr>
      </w:pPr>
      <w:r>
        <w:t>What resources are recommended to support my student?</w:t>
      </w:r>
    </w:p>
    <w:p w:rsidR="00CD1985" w:rsidP="00CD1985" w:rsidRDefault="00CD1985" w14:paraId="399A4AC9" w14:textId="325897D6">
      <w:r>
        <w:lastRenderedPageBreak/>
        <w:t xml:space="preserve">Text book </w:t>
      </w:r>
      <w:proofErr w:type="gramStart"/>
      <w:r>
        <w:t>( A</w:t>
      </w:r>
      <w:proofErr w:type="gramEnd"/>
      <w:r>
        <w:t xml:space="preserve"> level Sociology by Keith Trobe) in addition to online resources such as </w:t>
      </w:r>
      <w:hyperlink w:history="1" r:id="rId13">
        <w:r w:rsidRPr="00086BD6">
          <w:rPr>
            <w:rStyle w:val="Hyperlink"/>
          </w:rPr>
          <w:t>https://www.tutor2u.net/sociology</w:t>
        </w:r>
      </w:hyperlink>
    </w:p>
    <w:p w:rsidR="006472BA" w:rsidP="00CD1985" w:rsidRDefault="006472BA" w14:paraId="5F2BDD0B" w14:textId="270590F5">
      <w:pPr>
        <w:pStyle w:val="ListParagraph"/>
        <w:numPr>
          <w:ilvl w:val="0"/>
          <w:numId w:val="8"/>
        </w:numPr>
      </w:pPr>
      <w:r>
        <w:t>What else can I do to support my student at home?</w:t>
      </w:r>
    </w:p>
    <w:p w:rsidR="00CD1985" w:rsidP="00CD1985" w:rsidRDefault="00CD1985" w14:paraId="2564CC7D" w14:textId="4CD430F4">
      <w:r>
        <w:t>Revision guidelines and support is available for all students on this course in addition to a bank of past question for students to work through.</w:t>
      </w:r>
    </w:p>
    <w:p w:rsidR="00ED58A9" w:rsidP="00CD1985" w:rsidRDefault="00ED58A9" w14:paraId="2ED598AB" w14:textId="52DD3BC9">
      <w:pPr>
        <w:pStyle w:val="ListParagraph"/>
        <w:numPr>
          <w:ilvl w:val="0"/>
          <w:numId w:val="8"/>
        </w:numPr>
      </w:pPr>
      <w:r>
        <w:t>How can I help with revision?</w:t>
      </w:r>
    </w:p>
    <w:p w:rsidR="00CD1985" w:rsidP="00FC1507" w:rsidRDefault="00CD1985" w14:paraId="7136D21D" w14:textId="22177844">
      <w:pPr>
        <w:ind w:left="142"/>
      </w:pPr>
      <w:r>
        <w:t xml:space="preserve">Using a variety of revision methods such as revision cards, </w:t>
      </w:r>
      <w:r w:rsidR="00FC1507">
        <w:t>mind maps and knowledge checks which can all be done at home.</w:t>
      </w:r>
    </w:p>
    <w:p w:rsidR="00ED58A9" w:rsidP="00FC1507" w:rsidRDefault="00ED58A9" w14:paraId="3C05B692" w14:textId="6A620E02">
      <w:pPr>
        <w:pStyle w:val="ListParagraph"/>
        <w:numPr>
          <w:ilvl w:val="0"/>
          <w:numId w:val="8"/>
        </w:numPr>
      </w:pPr>
      <w:r>
        <w:t xml:space="preserve">What can I do if I need </w:t>
      </w:r>
      <w:r w:rsidR="00301437">
        <w:t xml:space="preserve">more </w:t>
      </w:r>
      <w:r>
        <w:t xml:space="preserve">support or my student is needing </w:t>
      </w:r>
      <w:r w:rsidR="00301437">
        <w:t xml:space="preserve">more </w:t>
      </w:r>
      <w:r>
        <w:t>support?</w:t>
      </w:r>
    </w:p>
    <w:p w:rsidR="00FC1507" w:rsidP="00FC1507" w:rsidRDefault="00FC1507" w14:paraId="6F4FFB21" w14:textId="6BE044EA">
      <w:r>
        <w:t>Contact</w:t>
      </w:r>
      <w:r w:rsidR="00457A68">
        <w:t xml:space="preserve"> lead teachers and or head of faculty to organise a meeting and set a personalised plan. </w:t>
      </w:r>
    </w:p>
    <w:p w:rsidR="00FC1507" w:rsidP="00FC1507" w:rsidRDefault="00FC1507" w14:paraId="166FA11D" w14:textId="77777777"/>
    <w:p w:rsidR="00FC1507" w:rsidP="00FC1507" w:rsidRDefault="00FC1507" w14:paraId="3D4091B5" w14:textId="33B18B20"/>
    <w:p w:rsidR="00FC1507" w:rsidP="00FC1507" w:rsidRDefault="00FC1507" w14:paraId="252A4F66" w14:textId="77777777"/>
    <w:sectPr w:rsidR="00FC1507" w:rsidSect="004F70F8">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45766"/>
    <w:multiLevelType w:val="multilevel"/>
    <w:tmpl w:val="4D8E99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5C5547A"/>
    <w:multiLevelType w:val="hybridMultilevel"/>
    <w:tmpl w:val="9F7C05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E16037"/>
    <w:multiLevelType w:val="multilevel"/>
    <w:tmpl w:val="D87EF7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717470B"/>
    <w:multiLevelType w:val="hybridMultilevel"/>
    <w:tmpl w:val="8370BD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87F4AE2"/>
    <w:multiLevelType w:val="hybridMultilevel"/>
    <w:tmpl w:val="0DB672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8F101AA"/>
    <w:multiLevelType w:val="hybridMultilevel"/>
    <w:tmpl w:val="AD900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B726FA"/>
    <w:multiLevelType w:val="multilevel"/>
    <w:tmpl w:val="F238CF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DE342E5"/>
    <w:multiLevelType w:val="hybridMultilevel"/>
    <w:tmpl w:val="107EF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184848"/>
    <w:multiLevelType w:val="multilevel"/>
    <w:tmpl w:val="464E7E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A7276B6"/>
    <w:multiLevelType w:val="hybridMultilevel"/>
    <w:tmpl w:val="E68657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D8B30EE"/>
    <w:multiLevelType w:val="hybridMultilevel"/>
    <w:tmpl w:val="9036E5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7"/>
  </w:num>
  <w:num w:numId="3">
    <w:abstractNumId w:val="8"/>
  </w:num>
  <w:num w:numId="4">
    <w:abstractNumId w:val="0"/>
  </w:num>
  <w:num w:numId="5">
    <w:abstractNumId w:val="6"/>
  </w:num>
  <w:num w:numId="6">
    <w:abstractNumId w:val="2"/>
  </w:num>
  <w:num w:numId="7">
    <w:abstractNumId w:val="3"/>
  </w:num>
  <w:num w:numId="8">
    <w:abstractNumId w:val="1"/>
  </w:num>
  <w:num w:numId="9">
    <w:abstractNumId w:val="9"/>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BA"/>
    <w:rsid w:val="00124F8C"/>
    <w:rsid w:val="002124EB"/>
    <w:rsid w:val="002D0148"/>
    <w:rsid w:val="00301437"/>
    <w:rsid w:val="00346E41"/>
    <w:rsid w:val="00457A68"/>
    <w:rsid w:val="00491D8D"/>
    <w:rsid w:val="004C1D96"/>
    <w:rsid w:val="004F1140"/>
    <w:rsid w:val="004F70F8"/>
    <w:rsid w:val="005E57A9"/>
    <w:rsid w:val="00614AB2"/>
    <w:rsid w:val="00642FFE"/>
    <w:rsid w:val="006472BA"/>
    <w:rsid w:val="00721AFF"/>
    <w:rsid w:val="007B6887"/>
    <w:rsid w:val="00A01D5E"/>
    <w:rsid w:val="00A5454C"/>
    <w:rsid w:val="00B30668"/>
    <w:rsid w:val="00B8178A"/>
    <w:rsid w:val="00CD1985"/>
    <w:rsid w:val="00CF1E1B"/>
    <w:rsid w:val="00D95594"/>
    <w:rsid w:val="00E52A0D"/>
    <w:rsid w:val="00E76219"/>
    <w:rsid w:val="00ED58A9"/>
    <w:rsid w:val="00FC1507"/>
    <w:rsid w:val="146ACF2E"/>
    <w:rsid w:val="674F1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8B69"/>
  <w15:chartTrackingRefBased/>
  <w15:docId w15:val="{D0DA4E54-723D-4B87-B5AD-464015C5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472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472BA"/>
    <w:rPr>
      <w:color w:val="0563C1" w:themeColor="hyperlink"/>
      <w:u w:val="single"/>
    </w:rPr>
  </w:style>
  <w:style w:type="paragraph" w:styleId="ListParagraph">
    <w:name w:val="List Paragraph"/>
    <w:basedOn w:val="Normal"/>
    <w:uiPriority w:val="34"/>
    <w:qFormat/>
    <w:rsid w:val="00E76219"/>
    <w:pPr>
      <w:ind w:left="720"/>
      <w:contextualSpacing/>
    </w:pPr>
  </w:style>
  <w:style w:type="paragraph" w:styleId="BalloonText">
    <w:name w:val="Balloon Text"/>
    <w:basedOn w:val="Normal"/>
    <w:link w:val="BalloonTextChar"/>
    <w:uiPriority w:val="99"/>
    <w:semiHidden/>
    <w:unhideWhenUsed/>
    <w:rsid w:val="007B688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6887"/>
    <w:rPr>
      <w:rFonts w:ascii="Segoe UI" w:hAnsi="Segoe UI" w:cs="Segoe UI"/>
      <w:sz w:val="18"/>
      <w:szCs w:val="18"/>
    </w:rPr>
  </w:style>
  <w:style w:type="character" w:styleId="UnresolvedMention">
    <w:name w:val="Unresolved Mention"/>
    <w:basedOn w:val="DefaultParagraphFont"/>
    <w:uiPriority w:val="99"/>
    <w:semiHidden/>
    <w:unhideWhenUsed/>
    <w:rsid w:val="00CD1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29895">
      <w:bodyDiv w:val="1"/>
      <w:marLeft w:val="0"/>
      <w:marRight w:val="0"/>
      <w:marTop w:val="0"/>
      <w:marBottom w:val="0"/>
      <w:divBdr>
        <w:top w:val="none" w:sz="0" w:space="0" w:color="auto"/>
        <w:left w:val="none" w:sz="0" w:space="0" w:color="auto"/>
        <w:bottom w:val="none" w:sz="0" w:space="0" w:color="auto"/>
        <w:right w:val="none" w:sz="0" w:space="0" w:color="auto"/>
      </w:divBdr>
    </w:div>
    <w:div w:id="605160513">
      <w:bodyDiv w:val="1"/>
      <w:marLeft w:val="0"/>
      <w:marRight w:val="0"/>
      <w:marTop w:val="0"/>
      <w:marBottom w:val="0"/>
      <w:divBdr>
        <w:top w:val="none" w:sz="0" w:space="0" w:color="auto"/>
        <w:left w:val="none" w:sz="0" w:space="0" w:color="auto"/>
        <w:bottom w:val="none" w:sz="0" w:space="0" w:color="auto"/>
        <w:right w:val="none" w:sz="0" w:space="0" w:color="auto"/>
      </w:divBdr>
    </w:div>
    <w:div w:id="930167607">
      <w:bodyDiv w:val="1"/>
      <w:marLeft w:val="0"/>
      <w:marRight w:val="0"/>
      <w:marTop w:val="0"/>
      <w:marBottom w:val="0"/>
      <w:divBdr>
        <w:top w:val="none" w:sz="0" w:space="0" w:color="auto"/>
        <w:left w:val="none" w:sz="0" w:space="0" w:color="auto"/>
        <w:bottom w:val="none" w:sz="0" w:space="0" w:color="auto"/>
        <w:right w:val="none" w:sz="0" w:space="0" w:color="auto"/>
      </w:divBdr>
    </w:div>
    <w:div w:id="14826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utor2u.net/sociology"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aqa.org.uk/subjects/sociology/as-and-a-level/sociology-7191-7192/assessment-resource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gregory@toothillschool.co.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Ljordan@toothillschool.co.uk" TargetMode="External" Id="rId10" /><Relationship Type="http://schemas.openxmlformats.org/officeDocument/2006/relationships/numbering" Target="numbering.xml" Id="rId4" /><Relationship Type="http://schemas.openxmlformats.org/officeDocument/2006/relationships/hyperlink" Target="mailto:Mchalloner@toothillschool.co.uk" TargetMode="External" Id="rId9" /><Relationship Type="http://schemas.openxmlformats.org/officeDocument/2006/relationships/fontTable" Target="fontTable.xml" Id="rId14" /><Relationship Type="http://schemas.openxmlformats.org/officeDocument/2006/relationships/hyperlink" Target="mailto:GRevagliatte@toothillschool.co.uk" TargetMode="External" Id="Rf8afb91bfa9840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7" ma:contentTypeDescription="Create a new document." ma:contentTypeScope="" ma:versionID="6264a772f4016b441f0da850c6a126e3">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0125c07ed951d20de1da896f79d9dd7"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0A919-0D02-4228-AD08-F20881419233}"/>
</file>

<file path=customXml/itemProps2.xml><?xml version="1.0" encoding="utf-8"?>
<ds:datastoreItem xmlns:ds="http://schemas.openxmlformats.org/officeDocument/2006/customXml" ds:itemID="{23278011-4D95-4FF5-81B1-0399C753D603}">
  <ds:schemaRefs>
    <ds:schemaRef ds:uri="http://schemas.microsoft.com/office/2006/documentManagement/types"/>
    <ds:schemaRef ds:uri="http://schemas.microsoft.com/office/2006/metadata/properties"/>
    <ds:schemaRef ds:uri="http://purl.org/dc/dcmitype/"/>
    <ds:schemaRef ds:uri="http://purl.org/dc/terms/"/>
    <ds:schemaRef ds:uri="87611147-6a9c-47aa-8af9-a0abd2242d30"/>
    <ds:schemaRef ds:uri="023ab5ac-e495-4eaa-b788-3615e6f6cf83"/>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5B766E10-72A9-47B8-9AE8-A670148E055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Clifton</dc:creator>
  <cp:keywords/>
  <dc:description/>
  <cp:lastModifiedBy>G Revagliatte Staff 8914404</cp:lastModifiedBy>
  <cp:revision>3</cp:revision>
  <cp:lastPrinted>2023-09-29T10:37:00Z</cp:lastPrinted>
  <dcterms:created xsi:type="dcterms:W3CDTF">2023-10-25T16:24:00Z</dcterms:created>
  <dcterms:modified xsi:type="dcterms:W3CDTF">2023-11-09T08:09:20Z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y fmtid="{D5CDD505-2E9C-101B-9397-08002B2CF9AE}" pid="3" name="MediaServiceImageTags">
    <vt:lpwstr/>
  </property>
</Properties>
</file>